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AD" w:rsidRPr="00782C9B" w:rsidRDefault="00782C9B" w:rsidP="00782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72267">
        <w:rPr>
          <w:sz w:val="28"/>
          <w:szCs w:val="28"/>
        </w:rPr>
        <w:t>УТВЕРЖДЕНО</w:t>
      </w:r>
      <w:r w:rsidRPr="00782C9B">
        <w:rPr>
          <w:sz w:val="28"/>
          <w:szCs w:val="28"/>
        </w:rPr>
        <w:t>:</w:t>
      </w:r>
    </w:p>
    <w:p w:rsidR="00782C9B" w:rsidRPr="00782C9B" w:rsidRDefault="00782C9B" w:rsidP="00782C9B">
      <w:pPr>
        <w:pStyle w:val="a3"/>
        <w:rPr>
          <w:sz w:val="28"/>
          <w:szCs w:val="28"/>
        </w:rPr>
      </w:pPr>
      <w:r w:rsidRPr="00782C9B">
        <w:rPr>
          <w:sz w:val="28"/>
          <w:szCs w:val="28"/>
        </w:rPr>
        <w:t xml:space="preserve">                                                                                   Решение</w:t>
      </w:r>
      <w:r w:rsidR="00072267">
        <w:rPr>
          <w:sz w:val="28"/>
          <w:szCs w:val="28"/>
        </w:rPr>
        <w:t>м заседанием</w:t>
      </w:r>
      <w:r w:rsidRPr="00782C9B">
        <w:rPr>
          <w:sz w:val="28"/>
          <w:szCs w:val="28"/>
        </w:rPr>
        <w:t xml:space="preserve"> правления</w:t>
      </w:r>
    </w:p>
    <w:p w:rsidR="00782C9B" w:rsidRPr="00782C9B" w:rsidRDefault="00782C9B" w:rsidP="00782C9B">
      <w:pPr>
        <w:pStyle w:val="a3"/>
        <w:rPr>
          <w:sz w:val="28"/>
          <w:szCs w:val="28"/>
        </w:rPr>
      </w:pPr>
      <w:r w:rsidRPr="00782C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782C9B">
        <w:rPr>
          <w:sz w:val="28"/>
          <w:szCs w:val="28"/>
        </w:rPr>
        <w:t xml:space="preserve">               СНТСН «Зеленая Роща» № _</w:t>
      </w:r>
      <w:r w:rsidR="00072267" w:rsidRPr="00072267">
        <w:rPr>
          <w:sz w:val="28"/>
          <w:szCs w:val="28"/>
          <w:u w:val="single"/>
        </w:rPr>
        <w:t>37</w:t>
      </w:r>
      <w:r w:rsidRPr="00782C9B">
        <w:rPr>
          <w:sz w:val="28"/>
          <w:szCs w:val="28"/>
        </w:rPr>
        <w:t>__</w:t>
      </w:r>
    </w:p>
    <w:p w:rsidR="00782C9B" w:rsidRDefault="00782C9B" w:rsidP="00782C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82C9B">
        <w:rPr>
          <w:sz w:val="28"/>
          <w:szCs w:val="28"/>
        </w:rPr>
        <w:t>от «_</w:t>
      </w:r>
      <w:r w:rsidR="00072267" w:rsidRPr="00072267">
        <w:rPr>
          <w:sz w:val="28"/>
          <w:szCs w:val="28"/>
          <w:u w:val="single"/>
        </w:rPr>
        <w:t>12</w:t>
      </w:r>
      <w:proofErr w:type="gramStart"/>
      <w:r w:rsidR="00072267">
        <w:rPr>
          <w:sz w:val="28"/>
          <w:szCs w:val="28"/>
        </w:rPr>
        <w:t>_</w:t>
      </w:r>
      <w:r w:rsidRPr="00782C9B">
        <w:rPr>
          <w:sz w:val="28"/>
          <w:szCs w:val="28"/>
        </w:rPr>
        <w:t>»_</w:t>
      </w:r>
      <w:proofErr w:type="gramEnd"/>
      <w:r w:rsidRPr="00782C9B">
        <w:rPr>
          <w:sz w:val="28"/>
          <w:szCs w:val="28"/>
        </w:rPr>
        <w:t>___</w:t>
      </w:r>
      <w:r w:rsidR="00072267" w:rsidRPr="00072267">
        <w:rPr>
          <w:sz w:val="28"/>
          <w:szCs w:val="28"/>
          <w:u w:val="single"/>
        </w:rPr>
        <w:t>12</w:t>
      </w:r>
      <w:r w:rsidRPr="00782C9B">
        <w:rPr>
          <w:sz w:val="28"/>
          <w:szCs w:val="28"/>
        </w:rPr>
        <w:t>_______2020 г.</w:t>
      </w:r>
    </w:p>
    <w:p w:rsidR="00782C9B" w:rsidRDefault="00782C9B" w:rsidP="00782C9B">
      <w:pPr>
        <w:pStyle w:val="a3"/>
        <w:rPr>
          <w:sz w:val="28"/>
          <w:szCs w:val="28"/>
        </w:rPr>
      </w:pPr>
    </w:p>
    <w:p w:rsidR="00782C9B" w:rsidRDefault="00782C9B" w:rsidP="00782C9B">
      <w:pPr>
        <w:pStyle w:val="a3"/>
        <w:rPr>
          <w:sz w:val="28"/>
          <w:szCs w:val="28"/>
        </w:rPr>
      </w:pPr>
    </w:p>
    <w:p w:rsidR="00782C9B" w:rsidRDefault="00782C9B" w:rsidP="00782C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сметы</w:t>
      </w:r>
    </w:p>
    <w:p w:rsidR="00782C9B" w:rsidRDefault="00782C9B" w:rsidP="00782C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СНТСН «Зеленая Роща» на 2021</w:t>
      </w:r>
      <w:r w:rsidR="001731FD">
        <w:rPr>
          <w:sz w:val="28"/>
          <w:szCs w:val="28"/>
        </w:rPr>
        <w:t>-2022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782C9B" w:rsidRDefault="00782C9B" w:rsidP="00782C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Расходы:</w:t>
      </w:r>
    </w:p>
    <w:p w:rsidR="00782C9B" w:rsidRDefault="00A37904" w:rsidP="00782C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персонал.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03"/>
        <w:gridCol w:w="2684"/>
        <w:gridCol w:w="1413"/>
        <w:gridCol w:w="5890"/>
      </w:tblGrid>
      <w:tr w:rsidR="00782C9B" w:rsidTr="00DC28F3">
        <w:tc>
          <w:tcPr>
            <w:tcW w:w="503" w:type="dxa"/>
          </w:tcPr>
          <w:p w:rsidR="00782C9B" w:rsidRDefault="00782C9B" w:rsidP="00782C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84" w:type="dxa"/>
          </w:tcPr>
          <w:p w:rsidR="00782C9B" w:rsidRDefault="00782C9B" w:rsidP="00782C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3" w:type="dxa"/>
          </w:tcPr>
          <w:p w:rsidR="00782C9B" w:rsidRDefault="00782C9B" w:rsidP="00782C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5890" w:type="dxa"/>
          </w:tcPr>
          <w:p w:rsidR="00782C9B" w:rsidRDefault="00782C9B" w:rsidP="00782C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DC28F3" w:rsidTr="00DC28F3">
        <w:tc>
          <w:tcPr>
            <w:tcW w:w="50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Заработная плата Председателя</w:t>
            </w:r>
          </w:p>
        </w:tc>
        <w:tc>
          <w:tcPr>
            <w:tcW w:w="141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345</w:t>
            </w:r>
            <w:r w:rsidR="00B712DF">
              <w:rPr>
                <w:sz w:val="24"/>
                <w:szCs w:val="24"/>
              </w:rPr>
              <w:t xml:space="preserve"> </w:t>
            </w:r>
            <w:r w:rsidRPr="00DC28F3">
              <w:rPr>
                <w:sz w:val="24"/>
                <w:szCs w:val="24"/>
              </w:rPr>
              <w:t>000</w:t>
            </w:r>
          </w:p>
        </w:tc>
        <w:tc>
          <w:tcPr>
            <w:tcW w:w="5890" w:type="dxa"/>
            <w:vMerge w:val="restart"/>
          </w:tcPr>
          <w:p w:rsidR="00DC28F3" w:rsidRPr="00DC28F3" w:rsidRDefault="00DC28F3" w:rsidP="0007226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денежных средств, подлежащих выплате персоналу СНТСН «Зеленая Роща» (согласно штатному расписанию), заключившим трудовые договора. Размер оклада определен исходя из исполняемых сотрудником трудовых функций в соответствии с должностными инструкциями, с учетом фактически исполняемого сотрудником объема работ, определенной за </w:t>
            </w:r>
            <w:proofErr w:type="gramStart"/>
            <w:r w:rsidR="00072267">
              <w:rPr>
                <w:sz w:val="24"/>
                <w:szCs w:val="24"/>
              </w:rPr>
              <w:t xml:space="preserve">предыдущие </w:t>
            </w:r>
            <w:r>
              <w:rPr>
                <w:sz w:val="24"/>
                <w:szCs w:val="24"/>
              </w:rPr>
              <w:t xml:space="preserve"> 3</w:t>
            </w:r>
            <w:proofErr w:type="gramEnd"/>
            <w:r>
              <w:rPr>
                <w:sz w:val="24"/>
                <w:szCs w:val="24"/>
              </w:rPr>
              <w:t xml:space="preserve"> года, режима рабочего времени, условий труда, МРОТ (установленное соглашением о минимальной заработной плате в Законе  Тюменской области № 4 от 02.04.2013 г., и постановление правительства Тюменской области от 26.10.2020 года</w:t>
            </w:r>
            <w:r w:rsidR="00A37904">
              <w:rPr>
                <w:sz w:val="24"/>
                <w:szCs w:val="24"/>
              </w:rPr>
              <w:t xml:space="preserve"> в размере 12871 руб.), прожиточного минимума.</w:t>
            </w:r>
          </w:p>
        </w:tc>
      </w:tr>
      <w:tr w:rsidR="00DC28F3" w:rsidTr="00DC28F3">
        <w:tc>
          <w:tcPr>
            <w:tcW w:w="50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бухгалтера</w:t>
            </w:r>
          </w:p>
        </w:tc>
        <w:tc>
          <w:tcPr>
            <w:tcW w:w="141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207</w:t>
            </w:r>
            <w:r w:rsidR="00B712DF">
              <w:rPr>
                <w:sz w:val="24"/>
                <w:szCs w:val="24"/>
              </w:rPr>
              <w:t xml:space="preserve"> </w:t>
            </w:r>
            <w:r w:rsidRPr="00DC28F3">
              <w:rPr>
                <w:sz w:val="24"/>
                <w:szCs w:val="24"/>
              </w:rPr>
              <w:t>000</w:t>
            </w:r>
          </w:p>
        </w:tc>
        <w:tc>
          <w:tcPr>
            <w:tcW w:w="5890" w:type="dxa"/>
            <w:vMerge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C28F3" w:rsidTr="00DC28F3">
        <w:tc>
          <w:tcPr>
            <w:tcW w:w="50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сторожа</w:t>
            </w:r>
          </w:p>
        </w:tc>
        <w:tc>
          <w:tcPr>
            <w:tcW w:w="141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179</w:t>
            </w:r>
            <w:r w:rsidR="00B712DF">
              <w:rPr>
                <w:sz w:val="24"/>
                <w:szCs w:val="24"/>
              </w:rPr>
              <w:t xml:space="preserve"> </w:t>
            </w:r>
            <w:r w:rsidRPr="00DC28F3">
              <w:rPr>
                <w:sz w:val="24"/>
                <w:szCs w:val="24"/>
              </w:rPr>
              <w:t>400</w:t>
            </w:r>
          </w:p>
        </w:tc>
        <w:tc>
          <w:tcPr>
            <w:tcW w:w="5890" w:type="dxa"/>
            <w:vMerge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C28F3" w:rsidTr="00DC28F3">
        <w:tc>
          <w:tcPr>
            <w:tcW w:w="50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DC28F3" w:rsidRPr="00DC28F3" w:rsidRDefault="00072267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</w:t>
            </w:r>
            <w:r w:rsidR="00DC28F3" w:rsidRPr="00DC28F3">
              <w:rPr>
                <w:sz w:val="24"/>
                <w:szCs w:val="24"/>
              </w:rPr>
              <w:t>ремия</w:t>
            </w:r>
            <w:r>
              <w:rPr>
                <w:sz w:val="24"/>
                <w:szCs w:val="24"/>
              </w:rPr>
              <w:t xml:space="preserve"> членам правления</w:t>
            </w:r>
          </w:p>
        </w:tc>
        <w:tc>
          <w:tcPr>
            <w:tcW w:w="141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60</w:t>
            </w:r>
            <w:r w:rsidR="00B712DF">
              <w:rPr>
                <w:sz w:val="24"/>
                <w:szCs w:val="24"/>
              </w:rPr>
              <w:t xml:space="preserve"> </w:t>
            </w:r>
            <w:r w:rsidRPr="00DC28F3">
              <w:rPr>
                <w:sz w:val="24"/>
                <w:szCs w:val="24"/>
              </w:rPr>
              <w:t>000</w:t>
            </w:r>
          </w:p>
        </w:tc>
        <w:tc>
          <w:tcPr>
            <w:tcW w:w="5890" w:type="dxa"/>
            <w:vMerge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C28F3" w:rsidTr="00A37904">
        <w:trPr>
          <w:trHeight w:val="389"/>
        </w:trPr>
        <w:tc>
          <w:tcPr>
            <w:tcW w:w="50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  <w:vMerge/>
          </w:tcPr>
          <w:p w:rsidR="00DC28F3" w:rsidRPr="00DC28F3" w:rsidRDefault="00DC28F3" w:rsidP="00782C9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37904" w:rsidTr="00A37904">
        <w:trPr>
          <w:trHeight w:val="1177"/>
        </w:trPr>
        <w:tc>
          <w:tcPr>
            <w:tcW w:w="503" w:type="dxa"/>
          </w:tcPr>
          <w:p w:rsidR="00A37904" w:rsidRPr="00DC28F3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A37904" w:rsidRPr="00DC28F3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Отчисления в </w:t>
            </w:r>
            <w:proofErr w:type="gramStart"/>
            <w:r w:rsidRPr="00DC28F3">
              <w:rPr>
                <w:sz w:val="24"/>
                <w:szCs w:val="24"/>
              </w:rPr>
              <w:t>ПФ,ФФОМС</w:t>
            </w:r>
            <w:proofErr w:type="gramEnd"/>
            <w:r w:rsidRPr="00DC28F3">
              <w:rPr>
                <w:sz w:val="24"/>
                <w:szCs w:val="24"/>
              </w:rPr>
              <w:t>, ФСС ПЗ и НС 30,2%</w:t>
            </w:r>
          </w:p>
        </w:tc>
        <w:tc>
          <w:tcPr>
            <w:tcW w:w="1413" w:type="dxa"/>
          </w:tcPr>
          <w:p w:rsidR="00A37904" w:rsidRPr="00DC28F3" w:rsidRDefault="00072267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239 002</w:t>
            </w:r>
          </w:p>
        </w:tc>
        <w:tc>
          <w:tcPr>
            <w:tcW w:w="5890" w:type="dxa"/>
          </w:tcPr>
          <w:p w:rsidR="00A37904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обязательных страховых взносов, исчисленная в порядке ст. 58.2 Федерального закона №212-ФЗ в размере 30,2 %, подлежащая уплате в соответствии со ст. 420 НК РФ.</w:t>
            </w:r>
          </w:p>
          <w:p w:rsidR="00A37904" w:rsidRPr="00DC28F3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37904" w:rsidTr="00DC28F3">
        <w:tc>
          <w:tcPr>
            <w:tcW w:w="503" w:type="dxa"/>
          </w:tcPr>
          <w:p w:rsidR="00A37904" w:rsidRPr="00DC28F3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A37904" w:rsidRPr="00DC28F3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Итого по статье расходов персонала</w:t>
            </w:r>
          </w:p>
        </w:tc>
        <w:tc>
          <w:tcPr>
            <w:tcW w:w="1413" w:type="dxa"/>
          </w:tcPr>
          <w:p w:rsidR="00A37904" w:rsidRPr="00DC28F3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  <w:r w:rsidR="00B712DF">
              <w:rPr>
                <w:sz w:val="24"/>
                <w:szCs w:val="24"/>
              </w:rPr>
              <w:t> </w:t>
            </w:r>
            <w:r w:rsidRPr="00DC28F3">
              <w:rPr>
                <w:sz w:val="24"/>
                <w:szCs w:val="24"/>
              </w:rPr>
              <w:t>030</w:t>
            </w:r>
            <w:r w:rsidR="00B712DF">
              <w:rPr>
                <w:sz w:val="24"/>
                <w:szCs w:val="24"/>
              </w:rPr>
              <w:t xml:space="preserve"> </w:t>
            </w:r>
            <w:r w:rsidRPr="00DC28F3">
              <w:rPr>
                <w:sz w:val="24"/>
                <w:szCs w:val="24"/>
              </w:rPr>
              <w:t>402</w:t>
            </w:r>
          </w:p>
        </w:tc>
        <w:tc>
          <w:tcPr>
            <w:tcW w:w="5890" w:type="dxa"/>
          </w:tcPr>
          <w:p w:rsidR="00A37904" w:rsidRPr="00DC28F3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Рассчитано с учетом обязательных платежей согласно гл. 23 п.1 ст. 420 НК РФ.</w:t>
            </w:r>
          </w:p>
        </w:tc>
      </w:tr>
    </w:tbl>
    <w:p w:rsidR="00782C9B" w:rsidRDefault="00A37904" w:rsidP="00A379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расходы.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01"/>
        <w:gridCol w:w="2618"/>
        <w:gridCol w:w="1418"/>
        <w:gridCol w:w="5953"/>
      </w:tblGrid>
      <w:tr w:rsidR="00A37904" w:rsidTr="00A37904">
        <w:tc>
          <w:tcPr>
            <w:tcW w:w="501" w:type="dxa"/>
          </w:tcPr>
          <w:p w:rsidR="00A37904" w:rsidRPr="00B712DF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A37904" w:rsidRPr="00B712DF" w:rsidRDefault="00B712DF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на землю общего пользования</w:t>
            </w:r>
          </w:p>
        </w:tc>
        <w:tc>
          <w:tcPr>
            <w:tcW w:w="1418" w:type="dxa"/>
          </w:tcPr>
          <w:p w:rsidR="00A37904" w:rsidRPr="00B712DF" w:rsidRDefault="00B712DF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A37904" w:rsidRPr="00B712DF" w:rsidRDefault="00B712DF" w:rsidP="0007226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Обязательный платеж, установленный ст. 389 НК РФ, исчисляемый в соответствии со ст. 390 НК РФ, на основании кадастровой стоимости земель общего пользования СНТСН «Зеленая Роща», предоставленных на основании Постановления администрации Тюмени, площадью </w:t>
            </w:r>
            <w:r w:rsidR="00072267">
              <w:rPr>
                <w:sz w:val="24"/>
                <w:szCs w:val="24"/>
              </w:rPr>
              <w:t>82459 м2</w:t>
            </w:r>
            <w:r>
              <w:rPr>
                <w:sz w:val="24"/>
                <w:szCs w:val="24"/>
              </w:rPr>
              <w:t>, определенная в порядке ст.66 Земельного кодекса РФ в размере.</w:t>
            </w:r>
          </w:p>
        </w:tc>
      </w:tr>
      <w:tr w:rsidR="00A37904" w:rsidTr="00A37904">
        <w:tc>
          <w:tcPr>
            <w:tcW w:w="501" w:type="dxa"/>
          </w:tcPr>
          <w:p w:rsidR="00A37904" w:rsidRPr="00B712DF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A37904" w:rsidRPr="00B712DF" w:rsidRDefault="00B712DF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банка</w:t>
            </w:r>
          </w:p>
        </w:tc>
        <w:tc>
          <w:tcPr>
            <w:tcW w:w="1418" w:type="dxa"/>
          </w:tcPr>
          <w:p w:rsidR="00A37904" w:rsidRPr="00B712DF" w:rsidRDefault="00B712DF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5953" w:type="dxa"/>
          </w:tcPr>
          <w:p w:rsidR="00A37904" w:rsidRPr="00B712DF" w:rsidRDefault="00B712DF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средства, подлежащие оплате по договору обслуживания банковского счета СНТСН «Зеленая Роща», № 40703810400020000349, открытого в АО КБ «</w:t>
            </w:r>
            <w:r w:rsidR="00582E9B">
              <w:rPr>
                <w:sz w:val="24"/>
                <w:szCs w:val="24"/>
              </w:rPr>
              <w:t>Агропром кредит</w:t>
            </w:r>
            <w:r>
              <w:rPr>
                <w:sz w:val="24"/>
                <w:szCs w:val="24"/>
              </w:rPr>
              <w:t>» г. Тюмень.</w:t>
            </w:r>
          </w:p>
        </w:tc>
      </w:tr>
      <w:tr w:rsidR="00A37904" w:rsidTr="00A37904">
        <w:tc>
          <w:tcPr>
            <w:tcW w:w="501" w:type="dxa"/>
          </w:tcPr>
          <w:p w:rsidR="00A37904" w:rsidRPr="00B712DF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A37904" w:rsidRPr="00B712DF" w:rsidRDefault="00B712DF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услуги</w:t>
            </w:r>
          </w:p>
        </w:tc>
        <w:tc>
          <w:tcPr>
            <w:tcW w:w="1418" w:type="dxa"/>
          </w:tcPr>
          <w:p w:rsidR="00A37904" w:rsidRPr="00B712DF" w:rsidRDefault="00B712DF" w:rsidP="00FE77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7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5953" w:type="dxa"/>
          </w:tcPr>
          <w:p w:rsidR="00A37904" w:rsidRPr="00B712DF" w:rsidRDefault="00B712DF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и понесенные расходы на юридическое сопровождение текущей деятельности СНТСН «Зеленая Роща» представление интересов СНТСН «Зеленая </w:t>
            </w:r>
            <w:r>
              <w:rPr>
                <w:sz w:val="24"/>
                <w:szCs w:val="24"/>
              </w:rPr>
              <w:lastRenderedPageBreak/>
              <w:t>Роща» во взаимоотношениях</w:t>
            </w:r>
            <w:r w:rsidR="009F17D6">
              <w:rPr>
                <w:sz w:val="24"/>
                <w:szCs w:val="24"/>
              </w:rPr>
              <w:t xml:space="preserve"> с органами государственной власти, местного самоуправления, контрагентами.</w:t>
            </w:r>
          </w:p>
        </w:tc>
      </w:tr>
      <w:tr w:rsidR="00A37904" w:rsidTr="00A37904">
        <w:tc>
          <w:tcPr>
            <w:tcW w:w="501" w:type="dxa"/>
          </w:tcPr>
          <w:p w:rsidR="00A37904" w:rsidRPr="00B712DF" w:rsidRDefault="00A37904" w:rsidP="00A37904">
            <w:pPr>
              <w:pStyle w:val="a3"/>
              <w:jc w:val="both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18" w:type="dxa"/>
          </w:tcPr>
          <w:p w:rsidR="00A37904" w:rsidRPr="00B712DF" w:rsidRDefault="009F17D6" w:rsidP="0007226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мобильной связи (председатель, бухгалтер, сторож </w:t>
            </w:r>
            <w:r w:rsidR="00072267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правлени</w:t>
            </w:r>
            <w:r w:rsidR="0007226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), интернет</w:t>
            </w:r>
          </w:p>
        </w:tc>
        <w:tc>
          <w:tcPr>
            <w:tcW w:w="1418" w:type="dxa"/>
          </w:tcPr>
          <w:p w:rsidR="00A37904" w:rsidRPr="00B712DF" w:rsidRDefault="009F17D6" w:rsidP="00FE77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7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53" w:type="dxa"/>
          </w:tcPr>
          <w:p w:rsidR="00A37904" w:rsidRPr="00B712DF" w:rsidRDefault="009F17D6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и понесенные расходы на оказание услуг мобильной связи, в том числе услуги передачи данных (Интернет). Рассчитаны по средствам сравнительной методики фактических расходов по данной статье за предыдущие 3 года.</w:t>
            </w:r>
          </w:p>
        </w:tc>
      </w:tr>
      <w:tr w:rsidR="009F17D6" w:rsidTr="00A37904">
        <w:tc>
          <w:tcPr>
            <w:tcW w:w="501" w:type="dxa"/>
          </w:tcPr>
          <w:p w:rsidR="009F17D6" w:rsidRPr="00B712DF" w:rsidRDefault="009F17D6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9F17D6" w:rsidRDefault="009F17D6" w:rsidP="009F17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орг. техники, приобретение картриджей к принтеру, расходы, канцелярские товары.</w:t>
            </w:r>
          </w:p>
        </w:tc>
        <w:tc>
          <w:tcPr>
            <w:tcW w:w="1418" w:type="dxa"/>
          </w:tcPr>
          <w:p w:rsidR="009F17D6" w:rsidRDefault="009F17D6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5953" w:type="dxa"/>
          </w:tcPr>
          <w:p w:rsidR="009F17D6" w:rsidRDefault="009F17D6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расходы на приобретение канцелярских товаров, необходимых для осуществления текущей деятельности СНТСН «Зеленая Роща», органов управления Товарищества, рассчитаны по средствам сравнительной методики фактических расходов по данной статье за предыдущие 3 года с учетом дополнительных расходов связанных с соблюдением порядка </w:t>
            </w:r>
            <w:r w:rsidR="001B4F1C">
              <w:rPr>
                <w:sz w:val="24"/>
                <w:szCs w:val="24"/>
              </w:rPr>
              <w:t>уведомления о проведении Общих собраний Товарищества (пп.1 п.13 ст.17 Федерального закона № 217-ФЗ), увеличения объема делопроизводства, роста рыночных цен.</w:t>
            </w:r>
          </w:p>
        </w:tc>
      </w:tr>
      <w:tr w:rsidR="009F17D6" w:rsidTr="00A37904">
        <w:tc>
          <w:tcPr>
            <w:tcW w:w="501" w:type="dxa"/>
          </w:tcPr>
          <w:p w:rsidR="009F17D6" w:rsidRPr="00B712DF" w:rsidRDefault="001B4F1C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9F17D6" w:rsidRDefault="001B4F1C" w:rsidP="009F17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программного обеспечения бух. Учета и ведения веб-сайта</w:t>
            </w:r>
          </w:p>
        </w:tc>
        <w:tc>
          <w:tcPr>
            <w:tcW w:w="1418" w:type="dxa"/>
          </w:tcPr>
          <w:p w:rsidR="001741B6" w:rsidRDefault="001741B6" w:rsidP="00FE77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FE77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953" w:type="dxa"/>
          </w:tcPr>
          <w:p w:rsidR="009F17D6" w:rsidRDefault="001B4F1C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расходы на обслуживание веб-сайта СНТСН «Зеленая Роща», </w:t>
            </w:r>
            <w:r w:rsidR="00582E9B">
              <w:rPr>
                <w:sz w:val="24"/>
                <w:szCs w:val="24"/>
              </w:rPr>
              <w:t>приобретению и</w:t>
            </w:r>
            <w:r>
              <w:rPr>
                <w:sz w:val="24"/>
                <w:szCs w:val="24"/>
              </w:rPr>
              <w:t xml:space="preserve"> обслуживанию специализированного (бухгалтерского) программного обеспечения, его составляющих. Договор с ООО «</w:t>
            </w:r>
            <w:proofErr w:type="spellStart"/>
            <w:r>
              <w:rPr>
                <w:sz w:val="24"/>
                <w:szCs w:val="24"/>
              </w:rPr>
              <w:t>Инфотех</w:t>
            </w:r>
            <w:proofErr w:type="spellEnd"/>
            <w:r>
              <w:rPr>
                <w:sz w:val="24"/>
                <w:szCs w:val="24"/>
              </w:rPr>
              <w:t>» на 2021 год</w:t>
            </w:r>
          </w:p>
        </w:tc>
      </w:tr>
      <w:tr w:rsidR="009F17D6" w:rsidTr="00A37904">
        <w:tc>
          <w:tcPr>
            <w:tcW w:w="501" w:type="dxa"/>
          </w:tcPr>
          <w:p w:rsidR="009F17D6" w:rsidRPr="00B712DF" w:rsidRDefault="001B4F1C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9F17D6" w:rsidRDefault="001B4F1C" w:rsidP="009F17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за использование личного автотранспорта и ГСМ для служебных поездок (500 л.)</w:t>
            </w:r>
          </w:p>
        </w:tc>
        <w:tc>
          <w:tcPr>
            <w:tcW w:w="1418" w:type="dxa"/>
          </w:tcPr>
          <w:p w:rsidR="009F17D6" w:rsidRDefault="001B4F1C" w:rsidP="0007226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2267">
              <w:rPr>
                <w:sz w:val="24"/>
                <w:szCs w:val="24"/>
              </w:rPr>
              <w:t>8 0</w:t>
            </w:r>
            <w:r>
              <w:rPr>
                <w:sz w:val="24"/>
                <w:szCs w:val="24"/>
              </w:rPr>
              <w:t>00</w:t>
            </w:r>
          </w:p>
          <w:p w:rsidR="00072267" w:rsidRDefault="00072267" w:rsidP="00072267">
            <w:pPr>
              <w:pStyle w:val="a3"/>
              <w:jc w:val="both"/>
              <w:rPr>
                <w:sz w:val="24"/>
                <w:szCs w:val="24"/>
              </w:rPr>
            </w:pPr>
          </w:p>
          <w:p w:rsidR="00072267" w:rsidRDefault="00072267" w:rsidP="00072267">
            <w:pPr>
              <w:pStyle w:val="a3"/>
              <w:jc w:val="both"/>
              <w:rPr>
                <w:sz w:val="24"/>
                <w:szCs w:val="24"/>
              </w:rPr>
            </w:pPr>
          </w:p>
          <w:p w:rsidR="00072267" w:rsidRDefault="00072267" w:rsidP="00FE77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7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FE77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953" w:type="dxa"/>
          </w:tcPr>
          <w:p w:rsidR="009F17D6" w:rsidRDefault="001B4F1C" w:rsidP="0007226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расходы за использование личного авто для служебных </w:t>
            </w:r>
            <w:proofErr w:type="gramStart"/>
            <w:r>
              <w:rPr>
                <w:sz w:val="24"/>
                <w:szCs w:val="24"/>
              </w:rPr>
              <w:t xml:space="preserve">поездок: </w:t>
            </w:r>
            <w:r w:rsidR="001741B6">
              <w:rPr>
                <w:sz w:val="24"/>
                <w:szCs w:val="24"/>
              </w:rPr>
              <w:t xml:space="preserve"> председатель</w:t>
            </w:r>
            <w:proofErr w:type="gramEnd"/>
            <w:r w:rsidR="001741B6">
              <w:rPr>
                <w:sz w:val="24"/>
                <w:szCs w:val="24"/>
              </w:rPr>
              <w:t xml:space="preserve"> –</w:t>
            </w:r>
            <w:r w:rsidR="00072267">
              <w:rPr>
                <w:sz w:val="24"/>
                <w:szCs w:val="24"/>
              </w:rPr>
              <w:t xml:space="preserve"> </w:t>
            </w:r>
            <w:r w:rsidR="001741B6">
              <w:rPr>
                <w:sz w:val="24"/>
                <w:szCs w:val="24"/>
              </w:rPr>
              <w:t>Бухгалтер. Постановление правительства РФ от 08.02.2002 г. № 92</w:t>
            </w:r>
          </w:p>
        </w:tc>
      </w:tr>
      <w:tr w:rsidR="009F17D6" w:rsidTr="00A37904">
        <w:tc>
          <w:tcPr>
            <w:tcW w:w="501" w:type="dxa"/>
          </w:tcPr>
          <w:p w:rsidR="009F17D6" w:rsidRPr="00B712DF" w:rsidRDefault="001741B6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1741B6" w:rsidRDefault="001741B6" w:rsidP="009F17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ТКО</w:t>
            </w:r>
          </w:p>
          <w:p w:rsidR="001741B6" w:rsidRDefault="001741B6" w:rsidP="009F17D6">
            <w:pPr>
              <w:pStyle w:val="a3"/>
              <w:jc w:val="both"/>
              <w:rPr>
                <w:sz w:val="24"/>
                <w:szCs w:val="24"/>
              </w:rPr>
            </w:pPr>
          </w:p>
          <w:p w:rsidR="009F17D6" w:rsidRDefault="009F17D6" w:rsidP="0007226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17D6" w:rsidRDefault="00FE77A7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1741B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53" w:type="dxa"/>
          </w:tcPr>
          <w:p w:rsidR="009F17D6" w:rsidRDefault="001741B6" w:rsidP="00AF728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расходы на оплату услуг Регионального оператора по обращению с ООО «ТКО» (Договора на оказание услуг по обращению с твердыми коммунальными отходами № </w:t>
            </w:r>
            <w:r w:rsidR="00AF728D">
              <w:rPr>
                <w:sz w:val="24"/>
                <w:szCs w:val="24"/>
              </w:rPr>
              <w:t>ТО02КО</w:t>
            </w:r>
            <w:proofErr w:type="gramStart"/>
            <w:r w:rsidR="00AF728D">
              <w:rPr>
                <w:sz w:val="24"/>
                <w:szCs w:val="24"/>
              </w:rPr>
              <w:t>0101008941</w:t>
            </w:r>
            <w:r>
              <w:rPr>
                <w:sz w:val="24"/>
                <w:szCs w:val="24"/>
              </w:rPr>
              <w:t xml:space="preserve">  от</w:t>
            </w:r>
            <w:proofErr w:type="gramEnd"/>
            <w:r w:rsidR="00AF728D">
              <w:rPr>
                <w:sz w:val="24"/>
                <w:szCs w:val="24"/>
              </w:rPr>
              <w:t xml:space="preserve"> 28.05.2019г.</w:t>
            </w:r>
            <w:r>
              <w:rPr>
                <w:sz w:val="24"/>
                <w:szCs w:val="24"/>
              </w:rPr>
              <w:t>) в соответствии с тарифами, устанавливаемыми Комитетом по ценам и тарифам г. Тюмени. Рассчитаны исходя из фактически оплаченной стоимости аналогичных услуг за предыдущие 3 года с учетом увеличения тарифов, объема ТКО садоводов.</w:t>
            </w:r>
          </w:p>
        </w:tc>
      </w:tr>
      <w:tr w:rsidR="009F17D6" w:rsidTr="00A37904">
        <w:tc>
          <w:tcPr>
            <w:tcW w:w="501" w:type="dxa"/>
          </w:tcPr>
          <w:p w:rsidR="009F17D6" w:rsidRPr="00B712DF" w:rsidRDefault="001741B6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9F17D6" w:rsidRDefault="001741B6" w:rsidP="009F17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территории СНТСН "Зеленая Роща» от снега</w:t>
            </w:r>
          </w:p>
        </w:tc>
        <w:tc>
          <w:tcPr>
            <w:tcW w:w="1418" w:type="dxa"/>
          </w:tcPr>
          <w:p w:rsidR="009F17D6" w:rsidRDefault="00FE77A7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41B6">
              <w:rPr>
                <w:sz w:val="24"/>
                <w:szCs w:val="24"/>
              </w:rPr>
              <w:t>0 000</w:t>
            </w:r>
          </w:p>
        </w:tc>
        <w:tc>
          <w:tcPr>
            <w:tcW w:w="5953" w:type="dxa"/>
          </w:tcPr>
          <w:p w:rsidR="009F17D6" w:rsidRDefault="001741B6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расходы на чистку дорог и проездов в границах территории СНТСН «Зеленая Роща» механизированным способом. Рассчитаны исходя из фактических затрат по настоящей статье с учетом роста рыночных цен на услуги, стоимости ГСМ, погодных условий.</w:t>
            </w:r>
            <w:r w:rsidR="00746369">
              <w:rPr>
                <w:sz w:val="24"/>
                <w:szCs w:val="24"/>
              </w:rPr>
              <w:t xml:space="preserve"> Договор № 11 от 30.07.2019 г. на услуги спецтехники.</w:t>
            </w:r>
          </w:p>
        </w:tc>
      </w:tr>
      <w:tr w:rsidR="009F17D6" w:rsidTr="00A37904">
        <w:tc>
          <w:tcPr>
            <w:tcW w:w="501" w:type="dxa"/>
          </w:tcPr>
          <w:p w:rsidR="009F17D6" w:rsidRPr="00B712DF" w:rsidRDefault="00746369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9F17D6" w:rsidRDefault="00746369" w:rsidP="009F17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территории СНТСН «Зеленая Роща» от клещей </w:t>
            </w:r>
          </w:p>
        </w:tc>
        <w:tc>
          <w:tcPr>
            <w:tcW w:w="1418" w:type="dxa"/>
          </w:tcPr>
          <w:p w:rsidR="009F17D6" w:rsidRDefault="00FE77A7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46369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53" w:type="dxa"/>
          </w:tcPr>
          <w:p w:rsidR="009F17D6" w:rsidRDefault="00746369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расходы по обработке территории СНТСН «Зеленая Роща» рассчитывается с учетом ЗОП и роста рыночной стоимости услуг.</w:t>
            </w:r>
          </w:p>
        </w:tc>
      </w:tr>
      <w:tr w:rsidR="009F17D6" w:rsidTr="00A37904">
        <w:tc>
          <w:tcPr>
            <w:tcW w:w="501" w:type="dxa"/>
          </w:tcPr>
          <w:p w:rsidR="009F17D6" w:rsidRPr="00B712DF" w:rsidRDefault="00746369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:rsidR="009F17D6" w:rsidRDefault="00746369" w:rsidP="009F17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Запросы в </w:t>
            </w: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и другие гос. Органах, выписок кадастровых планов, ЕГРЮЛ, печати и других документов.</w:t>
            </w:r>
          </w:p>
        </w:tc>
        <w:tc>
          <w:tcPr>
            <w:tcW w:w="1418" w:type="dxa"/>
          </w:tcPr>
          <w:p w:rsidR="009F17D6" w:rsidRDefault="00746369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5953" w:type="dxa"/>
          </w:tcPr>
          <w:p w:rsidR="009F17D6" w:rsidRDefault="00746369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расходы дополнительных затрат, связанных дальнейшим оформлением документации СНТСН «Зеленая Роща» согласно с ФЗ 217-ФЗ (пп.1 п.13 стр.17)</w:t>
            </w:r>
          </w:p>
        </w:tc>
      </w:tr>
      <w:tr w:rsidR="009F17D6" w:rsidTr="00A37904">
        <w:tc>
          <w:tcPr>
            <w:tcW w:w="501" w:type="dxa"/>
          </w:tcPr>
          <w:p w:rsidR="009F17D6" w:rsidRPr="00B712DF" w:rsidRDefault="00746369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9F17D6" w:rsidRDefault="00746369" w:rsidP="009F17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сдачу отчетности СБИС</w:t>
            </w:r>
            <w:r w:rsidR="00AD37BE">
              <w:rPr>
                <w:sz w:val="24"/>
                <w:szCs w:val="24"/>
              </w:rPr>
              <w:t xml:space="preserve"> Договор с ООО </w:t>
            </w:r>
            <w:proofErr w:type="gramStart"/>
            <w:r w:rsidR="00AD37BE">
              <w:rPr>
                <w:sz w:val="24"/>
                <w:szCs w:val="24"/>
              </w:rPr>
              <w:t>« Компания</w:t>
            </w:r>
            <w:proofErr w:type="gramEnd"/>
            <w:r w:rsidR="00AD37BE">
              <w:rPr>
                <w:sz w:val="24"/>
                <w:szCs w:val="24"/>
              </w:rPr>
              <w:t xml:space="preserve"> «Тензор»</w:t>
            </w:r>
          </w:p>
        </w:tc>
        <w:tc>
          <w:tcPr>
            <w:tcW w:w="1418" w:type="dxa"/>
          </w:tcPr>
          <w:p w:rsidR="009F17D6" w:rsidRDefault="00746369" w:rsidP="00A379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  <w:tc>
          <w:tcPr>
            <w:tcW w:w="5953" w:type="dxa"/>
          </w:tcPr>
          <w:p w:rsidR="009F17D6" w:rsidRDefault="00746369" w:rsidP="00E4510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расходы на сдачу отчетности </w:t>
            </w:r>
            <w:r w:rsidR="00AD37BE">
              <w:rPr>
                <w:sz w:val="24"/>
                <w:szCs w:val="24"/>
              </w:rPr>
              <w:t>через СБИС согласно договору № 12010223605</w:t>
            </w:r>
            <w:r>
              <w:rPr>
                <w:sz w:val="24"/>
                <w:szCs w:val="24"/>
              </w:rPr>
              <w:t xml:space="preserve"> от</w:t>
            </w:r>
            <w:r w:rsidR="00AD37BE">
              <w:rPr>
                <w:sz w:val="24"/>
                <w:szCs w:val="24"/>
              </w:rPr>
              <w:t xml:space="preserve"> 26.10.2020г.</w:t>
            </w:r>
          </w:p>
        </w:tc>
      </w:tr>
      <w:tr w:rsidR="009F17D6" w:rsidTr="00A37904">
        <w:tc>
          <w:tcPr>
            <w:tcW w:w="501" w:type="dxa"/>
          </w:tcPr>
          <w:p w:rsidR="009F17D6" w:rsidRPr="00B712DF" w:rsidRDefault="009F17D6" w:rsidP="00A3790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F17D6" w:rsidRDefault="00746369" w:rsidP="009F17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статье обязательные расходы</w:t>
            </w:r>
          </w:p>
        </w:tc>
        <w:tc>
          <w:tcPr>
            <w:tcW w:w="1418" w:type="dxa"/>
          </w:tcPr>
          <w:p w:rsidR="009F17D6" w:rsidRPr="00FE77A7" w:rsidRDefault="00FE77A7" w:rsidP="00B573A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1 039 500</w:t>
            </w:r>
          </w:p>
        </w:tc>
        <w:tc>
          <w:tcPr>
            <w:tcW w:w="5953" w:type="dxa"/>
          </w:tcPr>
          <w:p w:rsidR="009F17D6" w:rsidRDefault="009F17D6" w:rsidP="00A3790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37904" w:rsidRDefault="00746369" w:rsidP="007463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расходы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5953"/>
      </w:tblGrid>
      <w:tr w:rsidR="00746369" w:rsidRPr="00746369" w:rsidTr="00746369">
        <w:tc>
          <w:tcPr>
            <w:tcW w:w="567" w:type="dxa"/>
          </w:tcPr>
          <w:p w:rsidR="00746369" w:rsidRPr="00746369" w:rsidRDefault="00746369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46369" w:rsidRPr="00746369" w:rsidRDefault="00746369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на хоз.</w:t>
            </w:r>
            <w:r w:rsidR="005A14DA">
              <w:rPr>
                <w:sz w:val="24"/>
                <w:szCs w:val="24"/>
              </w:rPr>
              <w:t xml:space="preserve"> </w:t>
            </w:r>
            <w:r w:rsidR="005B3FB5">
              <w:rPr>
                <w:sz w:val="24"/>
                <w:szCs w:val="24"/>
              </w:rPr>
              <w:t>инвентарь (</w:t>
            </w:r>
            <w:r>
              <w:rPr>
                <w:sz w:val="24"/>
                <w:szCs w:val="24"/>
              </w:rPr>
              <w:t>лампы, замки, инструмент, водяной насос, содержание дома правления</w:t>
            </w:r>
            <w:r w:rsidR="005A14DA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418" w:type="dxa"/>
          </w:tcPr>
          <w:p w:rsidR="00746369" w:rsidRPr="00746369" w:rsidRDefault="00FE77A7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14DA">
              <w:rPr>
                <w:sz w:val="24"/>
                <w:szCs w:val="24"/>
              </w:rPr>
              <w:t>0 000</w:t>
            </w:r>
          </w:p>
        </w:tc>
        <w:tc>
          <w:tcPr>
            <w:tcW w:w="5953" w:type="dxa"/>
          </w:tcPr>
          <w:p w:rsidR="00746369" w:rsidRPr="00746369" w:rsidRDefault="005A14DA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расходы на приобретение товарно-материальных ценностей, в целях обеспечения хозяйственной деятельности СНТСН «Зеленая Роща», обслуживания, мелкого ремонта имущества общего пользования СНТСН «Зеленая Роща». Расчет произведен с учетом фактических расходов по данной статье роста цен на соответствующие товары, услуги.</w:t>
            </w:r>
          </w:p>
        </w:tc>
      </w:tr>
      <w:tr w:rsidR="00746369" w:rsidRPr="00746369" w:rsidTr="00746369">
        <w:tc>
          <w:tcPr>
            <w:tcW w:w="567" w:type="dxa"/>
          </w:tcPr>
          <w:p w:rsidR="00746369" w:rsidRPr="00746369" w:rsidRDefault="005A14DA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46369" w:rsidRPr="00746369" w:rsidRDefault="005A14DA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и установка, обслуживание средств видеонаблюдения</w:t>
            </w:r>
          </w:p>
        </w:tc>
        <w:tc>
          <w:tcPr>
            <w:tcW w:w="1418" w:type="dxa"/>
          </w:tcPr>
          <w:p w:rsidR="00746369" w:rsidRPr="00746369" w:rsidRDefault="005A14DA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5953" w:type="dxa"/>
          </w:tcPr>
          <w:p w:rsidR="00746369" w:rsidRPr="00746369" w:rsidRDefault="005A14DA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расходы по замене видеонаблюдения СНТСН «Зеленая Роща». Расчет произведен с фактических расходов по данной статье.</w:t>
            </w:r>
          </w:p>
        </w:tc>
      </w:tr>
      <w:tr w:rsidR="00746369" w:rsidRPr="00746369" w:rsidTr="00746369">
        <w:tc>
          <w:tcPr>
            <w:tcW w:w="567" w:type="dxa"/>
          </w:tcPr>
          <w:p w:rsidR="00746369" w:rsidRPr="00746369" w:rsidRDefault="005A14DA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46369" w:rsidRPr="00746369" w:rsidRDefault="005A14DA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 общего пользования. (уличное, служебное помещение, работа насоса и т.д.) Замена ламп на уличном освещении</w:t>
            </w:r>
          </w:p>
        </w:tc>
        <w:tc>
          <w:tcPr>
            <w:tcW w:w="1418" w:type="dxa"/>
          </w:tcPr>
          <w:p w:rsidR="00746369" w:rsidRPr="00746369" w:rsidRDefault="005A14DA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5953" w:type="dxa"/>
          </w:tcPr>
          <w:p w:rsidR="00746369" w:rsidRPr="00746369" w:rsidRDefault="005A14DA" w:rsidP="005A14D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расходы по оплате электроэнергии, потребленной на общие нужды СНТСН «Зеленая Роща». Расчет произведен посредством сравнительной фактических расходов по оплате объема потребленной электроэнергии по данной статье на основании выставленных </w:t>
            </w:r>
            <w:proofErr w:type="spellStart"/>
            <w:r>
              <w:rPr>
                <w:sz w:val="24"/>
                <w:szCs w:val="24"/>
              </w:rPr>
              <w:t>энергоснабжающей</w:t>
            </w:r>
            <w:proofErr w:type="spellEnd"/>
            <w:r>
              <w:rPr>
                <w:sz w:val="24"/>
                <w:szCs w:val="24"/>
              </w:rPr>
              <w:t xml:space="preserve"> организацией. Договор энергоснабжения № 18522 от 01.09.2019 года с </w:t>
            </w:r>
            <w:proofErr w:type="spellStart"/>
            <w:r>
              <w:rPr>
                <w:sz w:val="24"/>
                <w:szCs w:val="24"/>
              </w:rPr>
              <w:t>Газпромэнергосбыт</w:t>
            </w:r>
            <w:proofErr w:type="spellEnd"/>
            <w:r>
              <w:rPr>
                <w:sz w:val="24"/>
                <w:szCs w:val="24"/>
              </w:rPr>
              <w:t xml:space="preserve"> г. Тюмень </w:t>
            </w:r>
          </w:p>
        </w:tc>
      </w:tr>
      <w:tr w:rsidR="00746369" w:rsidRPr="00746369" w:rsidTr="00746369">
        <w:tc>
          <w:tcPr>
            <w:tcW w:w="567" w:type="dxa"/>
          </w:tcPr>
          <w:p w:rsidR="00746369" w:rsidRPr="00746369" w:rsidRDefault="00E719BC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46369" w:rsidRPr="00746369" w:rsidRDefault="00E719BC" w:rsidP="00E719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Скашивание травы, обрезка деревьев (оплата труда, приобретение ГСМ и расходных материалов)</w:t>
            </w:r>
          </w:p>
        </w:tc>
        <w:tc>
          <w:tcPr>
            <w:tcW w:w="1418" w:type="dxa"/>
          </w:tcPr>
          <w:p w:rsidR="00746369" w:rsidRPr="00746369" w:rsidRDefault="00E719BC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5953" w:type="dxa"/>
          </w:tcPr>
          <w:p w:rsidR="00746369" w:rsidRDefault="00E719BC" w:rsidP="00E719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расходы по проведению скашивания травы по центральной улице, запущенных участков и обрезки зеленых насаждений в зоне безопасности внутренних электросетей СНТСН «Зеленая Роща». </w:t>
            </w:r>
          </w:p>
          <w:p w:rsidR="00E719BC" w:rsidRPr="00746369" w:rsidRDefault="00E719BC" w:rsidP="00E719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расходы по оплате работ, услуг по благоустройству мест общего пользования, ГСМ.</w:t>
            </w:r>
          </w:p>
        </w:tc>
      </w:tr>
      <w:tr w:rsidR="00746369" w:rsidRPr="00746369" w:rsidTr="00746369">
        <w:tc>
          <w:tcPr>
            <w:tcW w:w="567" w:type="dxa"/>
          </w:tcPr>
          <w:p w:rsidR="00746369" w:rsidRPr="00746369" w:rsidRDefault="00E719BC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46369" w:rsidRPr="00746369" w:rsidRDefault="00E719BC" w:rsidP="00E719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Текущий ремонт дороги и подъездных путей по центральной улице</w:t>
            </w:r>
          </w:p>
        </w:tc>
        <w:tc>
          <w:tcPr>
            <w:tcW w:w="1418" w:type="dxa"/>
          </w:tcPr>
          <w:p w:rsidR="00746369" w:rsidRPr="00746369" w:rsidRDefault="00E719BC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5953" w:type="dxa"/>
          </w:tcPr>
          <w:p w:rsidR="00746369" w:rsidRPr="00746369" w:rsidRDefault="00E719BC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расходы по содержанию центральной дороги СНТСН «Зеленая Роща», в том числе приобретение расходных строительных материалов. При расчете приняты фактические расчеты по данной статье с рыночных цен.</w:t>
            </w:r>
          </w:p>
        </w:tc>
      </w:tr>
      <w:tr w:rsidR="00746369" w:rsidRPr="00746369" w:rsidTr="00746369">
        <w:tc>
          <w:tcPr>
            <w:tcW w:w="567" w:type="dxa"/>
          </w:tcPr>
          <w:p w:rsidR="00746369" w:rsidRPr="00746369" w:rsidRDefault="00E719BC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46369" w:rsidRPr="00746369" w:rsidRDefault="00E719BC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</w:t>
            </w:r>
            <w:proofErr w:type="gramStart"/>
            <w:r>
              <w:rPr>
                <w:sz w:val="24"/>
                <w:szCs w:val="24"/>
              </w:rPr>
              <w:t>шлагбаума ,</w:t>
            </w:r>
            <w:proofErr w:type="gramEnd"/>
            <w:r>
              <w:rPr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1418" w:type="dxa"/>
          </w:tcPr>
          <w:p w:rsidR="00746369" w:rsidRPr="00746369" w:rsidRDefault="00E719BC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150 000</w:t>
            </w:r>
          </w:p>
        </w:tc>
        <w:tc>
          <w:tcPr>
            <w:tcW w:w="5953" w:type="dxa"/>
          </w:tcPr>
          <w:p w:rsidR="00746369" w:rsidRPr="00746369" w:rsidRDefault="00CD2ADB" w:rsidP="00CD2AD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и установку шлагбаума включают в себя расходы на установку и приобретение оборудования. Расходы на приобретение и обслуживание программного обеспечения для управления шлагбаумом, внесение номеров телефонов членов СНТСН «Зеленая Роща» в базу данных для проезда на территорию СНТСН «Зеленая Роща».</w:t>
            </w:r>
          </w:p>
        </w:tc>
      </w:tr>
      <w:tr w:rsidR="00746369" w:rsidRPr="00746369" w:rsidTr="00746369">
        <w:tc>
          <w:tcPr>
            <w:tcW w:w="567" w:type="dxa"/>
          </w:tcPr>
          <w:p w:rsidR="00746369" w:rsidRPr="00746369" w:rsidRDefault="001D5967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46369" w:rsidRPr="00746369" w:rsidRDefault="001D5967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1418" w:type="dxa"/>
          </w:tcPr>
          <w:p w:rsidR="00746369" w:rsidRPr="00746369" w:rsidRDefault="001D5967" w:rsidP="00FE77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7A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5953" w:type="dxa"/>
          </w:tcPr>
          <w:p w:rsidR="00746369" w:rsidRPr="00746369" w:rsidRDefault="001D5967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произведен посредствам сравнительной методики фактических расходов по данной статье с учетом непредвиденных обстоятельств, в том числе не ограничиваясь: погодными условиями, стихийными бедствиями.</w:t>
            </w:r>
          </w:p>
        </w:tc>
      </w:tr>
      <w:tr w:rsidR="00746369" w:rsidRPr="00746369" w:rsidTr="00746369">
        <w:tc>
          <w:tcPr>
            <w:tcW w:w="567" w:type="dxa"/>
          </w:tcPr>
          <w:p w:rsidR="00746369" w:rsidRPr="00746369" w:rsidRDefault="00746369" w:rsidP="0074636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6369" w:rsidRPr="00746369" w:rsidRDefault="001D5967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sz w:val="24"/>
                <w:szCs w:val="24"/>
              </w:rPr>
              <w:t>статье  хозяйственные</w:t>
            </w:r>
            <w:proofErr w:type="gram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418" w:type="dxa"/>
          </w:tcPr>
          <w:p w:rsidR="00746369" w:rsidRPr="00746369" w:rsidRDefault="00FE77A7" w:rsidP="00FE77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  <w:r w:rsidR="001D596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53" w:type="dxa"/>
          </w:tcPr>
          <w:p w:rsidR="00746369" w:rsidRPr="00746369" w:rsidRDefault="00746369" w:rsidP="0074636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D5967" w:rsidRPr="00746369" w:rsidTr="00746369">
        <w:tc>
          <w:tcPr>
            <w:tcW w:w="567" w:type="dxa"/>
          </w:tcPr>
          <w:p w:rsidR="001D5967" w:rsidRPr="00746369" w:rsidRDefault="001D5967" w:rsidP="0074636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5967" w:rsidRDefault="001D5967" w:rsidP="007463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</w:tcPr>
          <w:p w:rsidR="001D5967" w:rsidRDefault="00B573A9" w:rsidP="00072267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FE77A7">
              <w:rPr>
                <w:sz w:val="24"/>
                <w:szCs w:val="24"/>
              </w:rPr>
              <w:t> 724 902</w:t>
            </w:r>
          </w:p>
          <w:p w:rsidR="003F0FE2" w:rsidRPr="003F0FE2" w:rsidRDefault="003F0FE2" w:rsidP="00072267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1D5967" w:rsidRPr="00746369" w:rsidRDefault="001D5967" w:rsidP="0074636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46369" w:rsidRPr="00746369" w:rsidRDefault="00746369" w:rsidP="00746369">
      <w:pPr>
        <w:pStyle w:val="a3"/>
        <w:ind w:left="720"/>
        <w:jc w:val="both"/>
        <w:rPr>
          <w:sz w:val="24"/>
          <w:szCs w:val="24"/>
        </w:rPr>
      </w:pPr>
    </w:p>
    <w:sectPr w:rsidR="00746369" w:rsidRPr="0074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5F7B"/>
    <w:multiLevelType w:val="hybridMultilevel"/>
    <w:tmpl w:val="E3E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3A"/>
    <w:rsid w:val="00072267"/>
    <w:rsid w:val="001731FD"/>
    <w:rsid w:val="001741B6"/>
    <w:rsid w:val="001B4F1C"/>
    <w:rsid w:val="001D5967"/>
    <w:rsid w:val="003149E3"/>
    <w:rsid w:val="003F0FE2"/>
    <w:rsid w:val="004E143A"/>
    <w:rsid w:val="00582E9B"/>
    <w:rsid w:val="005A14DA"/>
    <w:rsid w:val="005B3FB5"/>
    <w:rsid w:val="00672B85"/>
    <w:rsid w:val="00746369"/>
    <w:rsid w:val="00782C9B"/>
    <w:rsid w:val="009F17D6"/>
    <w:rsid w:val="00A37904"/>
    <w:rsid w:val="00AD37BE"/>
    <w:rsid w:val="00AF728D"/>
    <w:rsid w:val="00B573A9"/>
    <w:rsid w:val="00B712DF"/>
    <w:rsid w:val="00CD2ADB"/>
    <w:rsid w:val="00DC28F3"/>
    <w:rsid w:val="00E4510A"/>
    <w:rsid w:val="00E719BC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2DA6-5D91-4D14-BBD3-CC577390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C9B"/>
    <w:pPr>
      <w:spacing w:after="0" w:line="240" w:lineRule="auto"/>
    </w:pPr>
  </w:style>
  <w:style w:type="table" w:styleId="a4">
    <w:name w:val="Table Grid"/>
    <w:basedOn w:val="a1"/>
    <w:uiPriority w:val="39"/>
    <w:rsid w:val="0078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snt-2018</dc:creator>
  <cp:keywords/>
  <dc:description/>
  <cp:lastModifiedBy>snt-2018</cp:lastModifiedBy>
  <cp:revision>10</cp:revision>
  <cp:lastPrinted>2021-04-24T08:31:00Z</cp:lastPrinted>
  <dcterms:created xsi:type="dcterms:W3CDTF">2020-12-23T10:59:00Z</dcterms:created>
  <dcterms:modified xsi:type="dcterms:W3CDTF">2021-04-24T08:31:00Z</dcterms:modified>
</cp:coreProperties>
</file>